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8A8A8"/>
          <w:left w:val="single" w:sz="6" w:space="0" w:color="A8A8A8"/>
          <w:bottom w:val="single" w:sz="6" w:space="0" w:color="A8A8A8"/>
          <w:right w:val="single" w:sz="6" w:space="0" w:color="A8A8A8"/>
        </w:tblBorders>
        <w:shd w:val="clear" w:color="auto" w:fill="FFFFFF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493"/>
        <w:gridCol w:w="2578"/>
        <w:gridCol w:w="5985"/>
      </w:tblGrid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Calibr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pl-PL"/>
              </w:rPr>
              <w:t>L</w:t>
            </w:r>
            <w:r w:rsidRPr="00144840">
              <w:rPr>
                <w:rFonts w:ascii="inherit" w:eastAsia="Times New Roman" w:hAnsi="inherit" w:cs="Calibr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pl-PL"/>
              </w:rPr>
              <w:t>p.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inherit" w:eastAsia="Times New Roman" w:hAnsi="inherit" w:cs="Calibr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pl-PL"/>
              </w:rPr>
              <w:t>Przyczyna oporu pracowników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inherit" w:eastAsia="Times New Roman" w:hAnsi="inherit" w:cs="Calibr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pl-PL"/>
              </w:rPr>
              <w:t>Propozycje sposobów zaradczych</w:t>
            </w:r>
          </w:p>
        </w:tc>
      </w:tr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Zmiana uniemożliwia działanie w sposób, do którego przywykli pracownicy.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</w:p>
        </w:tc>
      </w:tr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Zmiana rodzi zagrożenie, ponieważ w trakcie nabywania nowych umiejętności pracownicy czują się okresowo niekompetentni.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</w:p>
        </w:tc>
      </w:tr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Pracownicy stają wobec konieczności zmiany głęboko zakorzenionych przekonań.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</w:p>
        </w:tc>
      </w:tr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Zmiana prowadzi do przepracowania i zagubienia się w szczegółach.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</w:p>
        </w:tc>
      </w:tr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W gronie pedagogicznym panuje przekonanie, że zmiana się nie uda.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</w:p>
        </w:tc>
      </w:tr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Panuje przekonanie, że zmiana została narzucona odgórnie.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</w:p>
        </w:tc>
      </w:tr>
      <w:tr w:rsidR="00144840" w:rsidRPr="00144840" w:rsidTr="00A25EED">
        <w:tc>
          <w:tcPr>
            <w:tcW w:w="245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1437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  <w:hideMark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14484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Brak jest warunków do wdrożenia zmiany.</w:t>
            </w:r>
          </w:p>
        </w:tc>
        <w:tc>
          <w:tcPr>
            <w:tcW w:w="3319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vAlign w:val="bottom"/>
          </w:tcPr>
          <w:p w:rsidR="00144840" w:rsidRPr="00144840" w:rsidRDefault="00144840" w:rsidP="00144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3D2A5D" w:rsidRDefault="00144840">
      <w:r>
        <w:t xml:space="preserve">Źródło: </w:t>
      </w:r>
      <w:r w:rsidRPr="00144840">
        <w:t>https://edukator.ore.edu.pl/211/</w:t>
      </w:r>
    </w:p>
    <w:sectPr w:rsidR="003D2A5D" w:rsidSect="00A2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40"/>
    <w:rsid w:val="00144840"/>
    <w:rsid w:val="003D2A5D"/>
    <w:rsid w:val="00A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CC5C-D321-442A-9F8D-723C8240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2019-01-22T00:58:00Z</dcterms:created>
  <dcterms:modified xsi:type="dcterms:W3CDTF">2019-01-22T00:58:00Z</dcterms:modified>
</cp:coreProperties>
</file>